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ED9B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  <w:r>
        <w:rPr>
          <w:rFonts w:cs="B Nazanin"/>
          <w:b/>
          <w:bCs/>
          <w:noProof/>
          <w:color w:val="FF0000"/>
          <w:rtl/>
          <w:lang w:bidi="fa-IR"/>
        </w:rPr>
        <w:drawing>
          <wp:inline distT="0" distB="0" distL="0" distR="0" wp14:anchorId="46BB3DB4" wp14:editId="183AFACF">
            <wp:extent cx="10029825" cy="6777823"/>
            <wp:effectExtent l="0" t="0" r="0" b="4445"/>
            <wp:docPr id="1" name="Picture 1" descr="C:\Users\cpb\Desktop\بسم ال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pb\Desktop\بسم ال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67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32B2" w14:textId="77777777" w:rsidR="00B2510F" w:rsidRDefault="002E4BD3" w:rsidP="002E4BD3">
      <w:pPr>
        <w:bidi/>
        <w:spacing w:after="200" w:line="276" w:lineRule="auto"/>
        <w:jc w:val="center"/>
        <w:rPr>
          <w:rFonts w:cs="B Nazanin"/>
          <w:b/>
          <w:bCs/>
          <w:color w:val="FF0000"/>
          <w:rtl/>
        </w:rPr>
      </w:pPr>
      <w:r w:rsidRPr="00366230">
        <w:rPr>
          <w:rFonts w:cs="B Nazanin"/>
          <w:noProof/>
          <w:lang w:bidi="fa-IR"/>
        </w:rPr>
        <w:lastRenderedPageBreak/>
        <w:drawing>
          <wp:inline distT="0" distB="0" distL="0" distR="0" wp14:anchorId="29B49790" wp14:editId="10274A47">
            <wp:extent cx="853432" cy="1098430"/>
            <wp:effectExtent l="0" t="0" r="444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5" cy="111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92E8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3B31A99F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7B44FC58" w14:textId="77777777" w:rsidR="002E4BD3" w:rsidRPr="002E4BD3" w:rsidRDefault="002E4BD3" w:rsidP="002E4BD3">
      <w:pPr>
        <w:pStyle w:val="NoSpacing"/>
        <w:bidi/>
        <w:spacing w:line="360" w:lineRule="auto"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b/>
          <w:bCs/>
          <w:sz w:val="52"/>
          <w:szCs w:val="52"/>
          <w:rtl/>
          <w:lang w:bidi="fa-IR"/>
        </w:rPr>
        <w:t xml:space="preserve">برنامه عملیاتی </w:t>
      </w:r>
      <w:r w:rsidRPr="002E4BD3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مرکز مطالعات و توسعه آموزش پزشکی</w:t>
      </w:r>
    </w:p>
    <w:p w14:paraId="2091B607" w14:textId="77777777" w:rsidR="002E4BD3" w:rsidRPr="002E4BD3" w:rsidRDefault="002E4BD3" w:rsidP="002E4BD3">
      <w:pPr>
        <w:pStyle w:val="NoSpacing"/>
        <w:bidi/>
        <w:spacing w:line="360" w:lineRule="auto"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2E4BD3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دانشگاه علوم پزشکی یاسوج</w:t>
      </w:r>
    </w:p>
    <w:p w14:paraId="11010057" w14:textId="77777777" w:rsidR="00B2510F" w:rsidRPr="002E4BD3" w:rsidRDefault="002E4BD3" w:rsidP="002E4BD3">
      <w:pPr>
        <w:bidi/>
        <w:spacing w:after="200" w:line="276" w:lineRule="auto"/>
        <w:jc w:val="center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1404</w:t>
      </w:r>
      <w:r w:rsidRPr="002E4BD3">
        <w:rPr>
          <w:rFonts w:cs="B Nazanin" w:hint="cs"/>
          <w:b/>
          <w:bCs/>
          <w:color w:val="000000" w:themeColor="text1"/>
          <w:rtl/>
        </w:rPr>
        <w:t>-140</w:t>
      </w:r>
      <w:r>
        <w:rPr>
          <w:rFonts w:cs="B Nazanin" w:hint="cs"/>
          <w:b/>
          <w:bCs/>
          <w:color w:val="000000" w:themeColor="text1"/>
          <w:rtl/>
        </w:rPr>
        <w:t>3</w:t>
      </w:r>
    </w:p>
    <w:p w14:paraId="6E76BC41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5C2101B9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01C0637C" w14:textId="77777777" w:rsidR="00013844" w:rsidRPr="00B2510F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theme="minorBidi"/>
          <w:sz w:val="32"/>
          <w:szCs w:val="3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b/>
          <w:bCs/>
          <w:sz w:val="32"/>
          <w:szCs w:val="32"/>
          <w:rtl/>
          <w:lang w:bidi="fa-IR"/>
        </w:rPr>
        <w:t>واحد آموزش پاسخگو و علوم پزشکی جامعه نگر</w:t>
      </w:r>
    </w:p>
    <w:p w14:paraId="4CB5431E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نقاط قوت :</w:t>
      </w:r>
    </w:p>
    <w:p w14:paraId="60DCC325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وجود واحدآموزش پاسخگو در مرکز مطالعات و توسعه آموزش پزشکی</w:t>
      </w:r>
    </w:p>
    <w:p w14:paraId="10374CD8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همکاری و حمایت مدیران کلان</w:t>
      </w:r>
    </w:p>
    <w:p w14:paraId="348BAB40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وجودمراکز آموزش پاسخگوی پایلوت</w:t>
      </w:r>
    </w:p>
    <w:p w14:paraId="6D35733D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همکاری مسئولین مراکز آموزش پاسخگو با اجرای برنامه</w:t>
      </w:r>
    </w:p>
    <w:p w14:paraId="3692E5D2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برخورداری از اعضای هیات علمی باتجربه در حوزه آموزش </w:t>
      </w:r>
    </w:p>
    <w:p w14:paraId="3C876A1A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سابقه برگزاری دوره ها وکارگاههای آموزشی درحوزه آموزش پاسخگو</w:t>
      </w:r>
    </w:p>
    <w:p w14:paraId="31FE45DB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وجود روحیه تعامل بین دانشکده ها وگروههای آموزشی با </w:t>
      </w:r>
      <w:r>
        <w:rPr>
          <w:rFonts w:asciiTheme="minorHAnsi" w:eastAsiaTheme="minorHAnsi" w:hAnsiTheme="minorHAnsi" w:cs="2  Titr"/>
          <w:b/>
          <w:bCs/>
          <w:sz w:val="22"/>
          <w:szCs w:val="22"/>
          <w:lang w:bidi="fa-IR"/>
        </w:rPr>
        <w:t>EDC</w:t>
      </w:r>
    </w:p>
    <w:p w14:paraId="02CAB74E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نقاط ضعف:</w:t>
      </w:r>
    </w:p>
    <w:p w14:paraId="35E6EF86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="BNazanin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مشارکت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ضعیف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اعضاي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هیات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علمی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دراستفاده از مراکز آموزش پاسخگو</w:t>
      </w:r>
    </w:p>
    <w:p w14:paraId="777FA665" w14:textId="77777777" w:rsidR="00013844" w:rsidRPr="00E650C5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استقبال</w:t>
      </w:r>
      <w:r w:rsidRPr="00220347">
        <w:rPr>
          <w:rFonts w:ascii="ArialMT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ضعیف</w:t>
      </w:r>
      <w:r w:rsidRPr="00220347">
        <w:rPr>
          <w:rFonts w:ascii="ArialMT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مدیران</w:t>
      </w:r>
      <w:r w:rsidRPr="00220347">
        <w:rPr>
          <w:rFonts w:ascii="ArialMT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گرو</w:t>
      </w:r>
      <w:r w:rsidRPr="00220347">
        <w:rPr>
          <w:rFonts w:ascii="Times New Roman" w:eastAsiaTheme="minorHAnsi" w:hAnsi="Times New Roman" w:cs="Times New Roman" w:hint="cs"/>
          <w:b/>
          <w:bCs/>
          <w:sz w:val="22"/>
          <w:szCs w:val="22"/>
          <w:rtl/>
          <w:lang w:bidi="fa-IR"/>
        </w:rPr>
        <w:t>ھھ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ای</w:t>
      </w:r>
      <w:r w:rsidRPr="00220347">
        <w:rPr>
          <w:rFonts w:ascii="ArialMT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ArialMT" w:eastAsiaTheme="minorHAnsi" w:hAnsiTheme="minorHAnsi" w:cs="2  Titr" w:hint="cs"/>
          <w:b/>
          <w:bCs/>
          <w:sz w:val="22"/>
          <w:szCs w:val="22"/>
          <w:rtl/>
          <w:lang w:bidi="fa-IR"/>
        </w:rPr>
        <w:t>اموزشی به آموزش در مراکز آموزش پاسخگو</w:t>
      </w:r>
      <w:r>
        <w:rPr>
          <w:rFonts w:asciiTheme="minorHAnsi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</w:p>
    <w:p w14:paraId="771F62CE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درک ناهماهنگ مفاهیم آموزش پاسخگو دربین برخی اعضا هیات علمی</w:t>
      </w:r>
    </w:p>
    <w:p w14:paraId="0A1E6B41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کمبود منابع انسانی متخصص</w:t>
      </w:r>
    </w:p>
    <w:p w14:paraId="4C055E2D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مشارکت پایین دانشجویان درفرایندهای طراحی آموزش پاسخگو</w:t>
      </w:r>
    </w:p>
    <w:p w14:paraId="04FABBB8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پراکندگی طرح های درسی بدون انسجام کافی با نیازهای منطقه ای</w:t>
      </w:r>
    </w:p>
    <w:p w14:paraId="22002D61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</w:p>
    <w:p w14:paraId="7BD9AA2B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="BNazanin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فرصت:</w:t>
      </w:r>
    </w:p>
    <w:p w14:paraId="68621BD8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توجه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ویژه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به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توسعه</w:t>
      </w: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پاسخگویی و عدالت اجتماعی در برنامه های وزارت بهداشت </w:t>
      </w:r>
    </w:p>
    <w:p w14:paraId="16D320C9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حمایت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وزارت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متبوع</w:t>
      </w:r>
      <w:r w:rsidRPr="00220347">
        <w:rPr>
          <w:rFonts w:ascii="BNazanin" w:eastAsiaTheme="minorHAnsi" w:hAnsiTheme="minorHAnsi" w:cs="2  Titr"/>
          <w:b/>
          <w:bCs/>
          <w:sz w:val="22"/>
          <w:szCs w:val="22"/>
          <w:lang w:bidi="fa-IR"/>
        </w:rPr>
        <w:t xml:space="preserve"> </w:t>
      </w:r>
      <w:r w:rsidRPr="00220347">
        <w:rPr>
          <w:rFonts w:ascii="BNazanin" w:eastAsiaTheme="minorHAnsi" w:hAnsiTheme="minorHAnsi" w:cs="2  Titr" w:hint="cs"/>
          <w:b/>
          <w:bCs/>
          <w:sz w:val="22"/>
          <w:szCs w:val="22"/>
          <w:rtl/>
          <w:lang w:bidi="fa-IR"/>
        </w:rPr>
        <w:t>ازبرنامه آموزش پاسخگو</w:t>
      </w:r>
    </w:p>
    <w:p w14:paraId="3C9D8767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وجود شورای راهبری آموزش پاسخگو با عضویت مدیران کلان دانشگاه</w:t>
      </w:r>
    </w:p>
    <w:p w14:paraId="02603FBB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حمایت وزارت بهداشت از بسته های تحول در آ»وزش ورویکردجامعه نگر</w:t>
      </w:r>
    </w:p>
    <w:p w14:paraId="41799D15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</w:p>
    <w:p w14:paraId="718C18A7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i/>
          <w:i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i/>
          <w:iCs/>
          <w:sz w:val="22"/>
          <w:szCs w:val="22"/>
          <w:rtl/>
          <w:lang w:bidi="fa-IR"/>
        </w:rPr>
        <w:t>تهدید:</w:t>
      </w:r>
    </w:p>
    <w:p w14:paraId="269AB056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 w:rsidRPr="00220347"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 xml:space="preserve"> شفاف نبودن دستورالعمل وزارتی در خصوص توسعه برنامه های پاسخگویی اجتماعی </w:t>
      </w:r>
    </w:p>
    <w:p w14:paraId="176B9BDA" w14:textId="77777777" w:rsidR="00013844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کمبود منابع مالی برای توسعه زیر ساخت های آموزش پاسخگو</w:t>
      </w:r>
    </w:p>
    <w:p w14:paraId="1646AE0C" w14:textId="77777777" w:rsidR="00013844" w:rsidRPr="00220347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2  Titr" w:hint="cs"/>
          <w:b/>
          <w:bCs/>
          <w:sz w:val="22"/>
          <w:szCs w:val="22"/>
          <w:rtl/>
          <w:lang w:bidi="fa-IR"/>
        </w:rPr>
        <w:t>پراکندگی نهادهای تصمیم گیر در حوزه سلامت وآموزش وعدم انسجام میان آن ها</w:t>
      </w:r>
    </w:p>
    <w:p w14:paraId="308FD083" w14:textId="77777777" w:rsidR="00013844" w:rsidRPr="00B2510F" w:rsidRDefault="00013844" w:rsidP="00013844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9"/>
        <w:gridCol w:w="1625"/>
        <w:gridCol w:w="2006"/>
        <w:gridCol w:w="1049"/>
        <w:gridCol w:w="1109"/>
        <w:gridCol w:w="1152"/>
        <w:gridCol w:w="1124"/>
        <w:gridCol w:w="1127"/>
        <w:gridCol w:w="1571"/>
        <w:gridCol w:w="1618"/>
      </w:tblGrid>
      <w:tr w:rsidR="00013844" w:rsidRPr="00B2510F" w14:paraId="0C8C80F8" w14:textId="77777777" w:rsidTr="00FE3FE7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183EF660" w14:textId="77777777" w:rsidR="00013844" w:rsidRPr="00B2510F" w:rsidRDefault="00013844" w:rsidP="00FE3FE7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G1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نهادينه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سازي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پاسخگويی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اجتماعی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در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برنامه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ريزي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هاي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آموزشی</w:t>
            </w:r>
          </w:p>
          <w:p w14:paraId="427E90F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013844" w:rsidRPr="00B2510F" w14:paraId="676649B5" w14:textId="77777777" w:rsidTr="00FE3FE7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053C5BC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25" w:type="dxa"/>
            <w:vMerge w:val="restart"/>
            <w:shd w:val="clear" w:color="auto" w:fill="CCC0D9" w:themeFill="accent4" w:themeFillTint="66"/>
          </w:tcPr>
          <w:p w14:paraId="77997ED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006" w:type="dxa"/>
            <w:vMerge w:val="restart"/>
            <w:shd w:val="clear" w:color="auto" w:fill="CCC0D9" w:themeFill="accent4" w:themeFillTint="66"/>
          </w:tcPr>
          <w:p w14:paraId="56A2E12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41A39AA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3C711FE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5AE1F14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28F3180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10EC899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5D67850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013844" w:rsidRPr="00B2510F" w14:paraId="0BD36825" w14:textId="77777777" w:rsidTr="00FE3FE7">
        <w:trPr>
          <w:trHeight w:val="326"/>
          <w:jc w:val="center"/>
        </w:trPr>
        <w:tc>
          <w:tcPr>
            <w:tcW w:w="869" w:type="dxa"/>
            <w:vMerge/>
          </w:tcPr>
          <w:p w14:paraId="5A26967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</w:tcPr>
          <w:p w14:paraId="156855A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006" w:type="dxa"/>
            <w:vMerge/>
          </w:tcPr>
          <w:p w14:paraId="5EAA1D5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</w:tcPr>
          <w:p w14:paraId="3F34654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581D2F8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72B426E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0444565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4CB1F25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61AAFB8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7780308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7AAAA489" w14:textId="77777777" w:rsidTr="00FE3FE7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484EFB87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G1O1</w:t>
            </w:r>
          </w:p>
          <w:p w14:paraId="19144AB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3A829B01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افزایش تعداد گروههای فعال در مراکز آموزش پاسخگو</w:t>
            </w:r>
          </w:p>
        </w:tc>
        <w:tc>
          <w:tcPr>
            <w:tcW w:w="2006" w:type="dxa"/>
            <w:shd w:val="clear" w:color="auto" w:fill="FFFFFF" w:themeFill="background1"/>
          </w:tcPr>
          <w:p w14:paraId="3F81575F" w14:textId="77777777" w:rsidR="00013844" w:rsidRPr="00B2510F" w:rsidRDefault="00013844" w:rsidP="00FE3FE7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به روز رسانی ابلاغ اعضای کارگروه اموزش پاسخگو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6001A177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معاون آموزشی</w:t>
            </w:r>
          </w:p>
          <w:p w14:paraId="399C36C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دانشکده ها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38EE8DB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32BF975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7B1EF4F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و مرکز توسعه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6DA7D52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و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5AA9597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گروههای فعال شده در مراکز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2DD90BE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7970CA83" w14:textId="77777777" w:rsidTr="00FE3FE7">
        <w:trPr>
          <w:trHeight w:val="442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F77132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1625C07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4155693A" w14:textId="77777777" w:rsidR="00013844" w:rsidRPr="00B2510F" w:rsidRDefault="00013844" w:rsidP="00FE3FE7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کارشناسی مراکز پایلوت آموزش پاسخگو جهت آموزش گروههای بیشتر 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04B2A14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53E2C889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3E34072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6D029B9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18189DF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0370F4F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1F7227E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0A889BD5" w14:textId="77777777" w:rsidTr="00FE3FE7">
        <w:trPr>
          <w:trHeight w:val="768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715F36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026D0B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0C22D049" w14:textId="77777777" w:rsidR="00013844" w:rsidRPr="00B2510F" w:rsidRDefault="00013844" w:rsidP="00FE3FE7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تشکیل کارگروه آموزش پاسخگو جهت بررسی نتایج کارشناسی مراکز پاسخگو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2E9D2A0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5E62408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7A519FA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865CC9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646776E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048796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2765E17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03A5A451" w14:textId="77777777" w:rsidTr="00FE3FE7">
        <w:trPr>
          <w:trHeight w:val="1402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35CEF3E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5F7091C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C947DF7" w14:textId="77777777" w:rsidR="00013844" w:rsidRPr="00B2510F" w:rsidRDefault="00013844" w:rsidP="00FE3FE7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و اعلام نتایج و صورت جلسه کارگروه به دانشکده و گروههای آموزشی مشخص شده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67B1594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19BBC07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52D3080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04E8690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63124C5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5007B02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51FD760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4D78278A" w14:textId="77777777" w:rsidTr="00FE3FE7">
        <w:trPr>
          <w:trHeight w:val="173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49D6CA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65D0E9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B068ABB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 برنامه حضور اساتید گروههای مشخص شده جهت حضور در مراکز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2504FEC7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4BAEDFC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0ECB93B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32EE6C5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7FBFC49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7AE58D0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53610E8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2ACEC5D8" w14:textId="77777777" w:rsidTr="00FE3FE7">
        <w:trPr>
          <w:trHeight w:val="1077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591BDB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1326D9A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4780DBE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برنامه حضور به مراکز و بیمارستان ها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1CB40F7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42C1E8C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240AE12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506C28A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60604AD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6923C81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1CC0C83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7E30BE1C" w14:textId="77777777" w:rsidTr="00FE3FE7">
        <w:trPr>
          <w:trHeight w:val="829"/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5988C8B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bookmarkStart w:id="0" w:name="_Hlk211426520"/>
            <w:bookmarkStart w:id="1" w:name="_Hlk211426647"/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6F88AE67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 شورای راهبری آموزش پاسخگو</w:t>
            </w:r>
          </w:p>
        </w:tc>
        <w:tc>
          <w:tcPr>
            <w:tcW w:w="2006" w:type="dxa"/>
            <w:shd w:val="clear" w:color="auto" w:fill="FFFFFF" w:themeFill="background1"/>
          </w:tcPr>
          <w:p w14:paraId="69979FC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به روز رسانی ابلاغ اعضای شورای راهبری</w:t>
            </w:r>
          </w:p>
          <w:p w14:paraId="78D96098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465B961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 w:val="restart"/>
            <w:shd w:val="clear" w:color="auto" w:fill="FFFFFF" w:themeFill="background1"/>
          </w:tcPr>
          <w:p w14:paraId="429AA9C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مهرماه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42702FE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64EB81D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39E21BA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جلسات شورای راهبری برگزار شده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324AE49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bookmarkEnd w:id="0"/>
      <w:tr w:rsidR="00013844" w:rsidRPr="00B2510F" w14:paraId="3C756DED" w14:textId="77777777" w:rsidTr="00FE3FE7">
        <w:trPr>
          <w:trHeight w:val="345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EFA340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4FAAD41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7989275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 جهت تشکیل جلسات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6337939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662679D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6D1E54A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3FA3439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563FFE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185CD57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2B157D7A" w14:textId="77777777" w:rsidTr="00FE3FE7">
        <w:trPr>
          <w:trHeight w:val="499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006EC1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249B599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6C9A52A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 جلسات و بررسی چالش های موجود در مراکز</w:t>
            </w:r>
          </w:p>
          <w:p w14:paraId="30D22E86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0A4FA4A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2C6D13B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6F9ABE1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1E7AFA9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EECD12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0E2135B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bookmarkEnd w:id="1"/>
      <w:tr w:rsidR="00013844" w:rsidRPr="00B2510F" w14:paraId="616DBC9A" w14:textId="77777777" w:rsidTr="00FE3FE7">
        <w:trPr>
          <w:trHeight w:val="40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27B714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04B6C230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24460DC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به دانشکده ها و مراکز آموزش پاسخگو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4444C55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1D5295C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04480B7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5AEBD15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23CA773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294BF11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49E93C55" w14:textId="77777777" w:rsidR="00013844" w:rsidRPr="00B2510F" w:rsidRDefault="00013844" w:rsidP="00013844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13BC614C" w14:textId="77777777" w:rsidR="00013844" w:rsidRPr="00B2510F" w:rsidRDefault="00013844" w:rsidP="00013844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3CED60F9" w14:textId="77777777" w:rsidR="00013844" w:rsidRPr="003561B2" w:rsidRDefault="00013844" w:rsidP="00013844">
      <w:pPr>
        <w:spacing w:after="200" w:line="276" w:lineRule="auto"/>
        <w:rPr>
          <w:rFonts w:asciiTheme="minorHAnsi" w:eastAsiaTheme="minorHAnsi" w:hAnsiTheme="minorHAnsi" w:cs="B Nazanin"/>
          <w:sz w:val="24"/>
          <w:szCs w:val="24"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9"/>
        <w:gridCol w:w="1625"/>
        <w:gridCol w:w="2006"/>
        <w:gridCol w:w="1049"/>
        <w:gridCol w:w="2261"/>
        <w:gridCol w:w="1124"/>
        <w:gridCol w:w="1127"/>
        <w:gridCol w:w="1571"/>
        <w:gridCol w:w="1618"/>
      </w:tblGrid>
      <w:tr w:rsidR="00013844" w:rsidRPr="00B2510F" w14:paraId="700BFB35" w14:textId="77777777" w:rsidTr="00FE3FE7">
        <w:trPr>
          <w:trHeight w:val="829"/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79AE0B6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</w:t>
            </w:r>
            <w:r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3</w:t>
            </w: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24F8F55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توامندسازی اعضای هیات علمی در زمینه مفاهیم ومهارت آموزش پاسخگو</w:t>
            </w:r>
          </w:p>
        </w:tc>
        <w:tc>
          <w:tcPr>
            <w:tcW w:w="2006" w:type="dxa"/>
            <w:shd w:val="clear" w:color="auto" w:fill="FFFFFF" w:themeFill="background1"/>
          </w:tcPr>
          <w:p w14:paraId="7DE8F2F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طراحی واجرای 3کارگاه آموزشی با محورهای آموزش پاسخگو وبرنامه ریزی آموزشی جامعه نگر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6CBE61F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و</w:t>
            </w:r>
            <w:r>
              <w:rPr>
                <w:rFonts w:asciiTheme="minorHAnsi" w:eastAsiaTheme="minorHAnsi" w:hAnsiTheme="minorHAnsi" w:cs="B Nazanin"/>
                <w:lang w:bidi="fa-IR"/>
              </w:rPr>
              <w:t>EDC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</w:tcPr>
          <w:p w14:paraId="5EC2532B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اردیبهشت/شهریور/آذر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5FFD893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و</w:t>
            </w:r>
            <w:r>
              <w:rPr>
                <w:rFonts w:asciiTheme="minorHAnsi" w:eastAsiaTheme="minorHAnsi" w:hAnsiTheme="minorHAnsi" w:cs="B Nazanin"/>
                <w:lang w:bidi="fa-IR"/>
              </w:rPr>
              <w:t>EDC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1C86C33A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78FC4848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تعدادکارگاههای برگزار شده ومیزان مشارکت اعضا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016DE58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4A101A43" w14:textId="77777777" w:rsidTr="00FE3FE7">
        <w:trPr>
          <w:trHeight w:val="345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6B107CF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20855044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3564FFCB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تدوین بسته آموزش الکترونیکی برای مرور مفاهیم کلیدی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EB5E655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vMerge/>
            <w:shd w:val="clear" w:color="auto" w:fill="E5DFEC" w:themeFill="accent4" w:themeFillTint="33"/>
          </w:tcPr>
          <w:p w14:paraId="2352580C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9087FE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4620907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A524E16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728A98A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013844" w:rsidRPr="00B2510F" w14:paraId="721F8FC2" w14:textId="77777777" w:rsidTr="00FE3FE7">
        <w:trPr>
          <w:trHeight w:val="499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66CC4817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45F68CB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1E80698C" w14:textId="77777777" w:rsidR="00013844" w:rsidRPr="00B2510F" w:rsidRDefault="00013844" w:rsidP="00FE3FE7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F5DF461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vMerge/>
            <w:shd w:val="clear" w:color="auto" w:fill="E5DFEC" w:themeFill="accent4" w:themeFillTint="33"/>
          </w:tcPr>
          <w:p w14:paraId="127502E2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DFC632E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4675B5B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2CC873A3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2109055D" w14:textId="77777777" w:rsidR="00013844" w:rsidRPr="00B2510F" w:rsidRDefault="00013844" w:rsidP="00FE3FE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3FDAF08D" w14:textId="77777777" w:rsidR="00013844" w:rsidRPr="00730F10" w:rsidRDefault="00013844" w:rsidP="00013844">
      <w:pPr>
        <w:bidi/>
        <w:spacing w:after="200" w:line="276" w:lineRule="auto"/>
        <w:jc w:val="center"/>
        <w:rPr>
          <w:rFonts w:cs="2  Titr"/>
          <w:sz w:val="32"/>
          <w:szCs w:val="32"/>
          <w:lang w:bidi="fa-IR"/>
        </w:rPr>
      </w:pPr>
    </w:p>
    <w:p w14:paraId="4D4B1A6D" w14:textId="77777777" w:rsidR="00013844" w:rsidRPr="002E1476" w:rsidRDefault="00013844" w:rsidP="0001384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5541B332" w14:textId="77777777" w:rsidR="00013844" w:rsidRPr="002E1476" w:rsidRDefault="00013844" w:rsidP="0001384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548458B5" w14:textId="77777777" w:rsidR="00013844" w:rsidRPr="002E1476" w:rsidRDefault="00013844" w:rsidP="0001384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44C05E5" w14:textId="77777777" w:rsidR="00013844" w:rsidRPr="002E1476" w:rsidRDefault="00013844" w:rsidP="0001384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238B22D8" w14:textId="77777777" w:rsidR="00013844" w:rsidRDefault="00013844" w:rsidP="00013844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2BC48DAA" w14:textId="77777777" w:rsidR="00013844" w:rsidRDefault="00013844" w:rsidP="00013844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2E7B7A64" w14:textId="77777777" w:rsidR="00013844" w:rsidRDefault="00013844" w:rsidP="00013844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52131AAE" w14:textId="77777777" w:rsidR="00013844" w:rsidRPr="003561B2" w:rsidRDefault="00013844" w:rsidP="00013844">
      <w:pPr>
        <w:rPr>
          <w:rFonts w:asciiTheme="minorHAnsi" w:eastAsiaTheme="minorHAnsi" w:hAnsiTheme="minorHAnsi" w:cs="B Nazanin"/>
          <w:sz w:val="24"/>
          <w:szCs w:val="24"/>
          <w:lang w:bidi="fa-IR"/>
        </w:rPr>
      </w:pPr>
    </w:p>
    <w:p w14:paraId="794BF6A3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35CA3DCB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287689C9" w14:textId="77777777" w:rsidR="00013844" w:rsidRPr="00B2510F" w:rsidRDefault="00013844" w:rsidP="00013844">
      <w:pPr>
        <w:bidi/>
        <w:spacing w:after="200" w:line="276" w:lineRule="auto"/>
        <w:jc w:val="both"/>
        <w:rPr>
          <w:rFonts w:asciiTheme="minorHAnsi" w:eastAsiaTheme="minorHAnsi" w:hAnsiTheme="minorHAnsi" w:cstheme="minorBidi"/>
          <w:sz w:val="32"/>
          <w:szCs w:val="32"/>
          <w:rtl/>
          <w:lang w:bidi="fa-IR"/>
        </w:rPr>
      </w:pPr>
    </w:p>
    <w:p w14:paraId="0EC1B241" w14:textId="77777777" w:rsidR="00B2510F" w:rsidRPr="00B2510F" w:rsidRDefault="00B2510F" w:rsidP="00B2510F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9"/>
        <w:gridCol w:w="1625"/>
        <w:gridCol w:w="2006"/>
        <w:gridCol w:w="1049"/>
        <w:gridCol w:w="1109"/>
        <w:gridCol w:w="1152"/>
        <w:gridCol w:w="1124"/>
        <w:gridCol w:w="1127"/>
        <w:gridCol w:w="1571"/>
        <w:gridCol w:w="1618"/>
      </w:tblGrid>
      <w:tr w:rsidR="00B2510F" w:rsidRPr="00B2510F" w14:paraId="5B562425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37E02D73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G1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نهادينه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سازي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پاسخگويی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اجتماعی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در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برنامه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ريزي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هاي</w:t>
            </w:r>
            <w:r w:rsidRPr="00B2510F">
              <w:rPr>
                <w:rFonts w:asciiTheme="minorBidi" w:eastAsiaTheme="minorHAnsi" w:hAnsiTheme="minorBidi" w:cs="2  Titr"/>
                <w:b/>
                <w:bCs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آموزشی</w:t>
            </w:r>
          </w:p>
          <w:p w14:paraId="2E3C535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3659CA71" w14:textId="77777777" w:rsidTr="002E4BD3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12B57C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25" w:type="dxa"/>
            <w:vMerge w:val="restart"/>
            <w:shd w:val="clear" w:color="auto" w:fill="CCC0D9" w:themeFill="accent4" w:themeFillTint="66"/>
          </w:tcPr>
          <w:p w14:paraId="577ECAE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006" w:type="dxa"/>
            <w:vMerge w:val="restart"/>
            <w:shd w:val="clear" w:color="auto" w:fill="CCC0D9" w:themeFill="accent4" w:themeFillTint="66"/>
          </w:tcPr>
          <w:p w14:paraId="3639F56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6887435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282EFD7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2DBE225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7238E76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0C116AC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133A15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5620F10D" w14:textId="77777777" w:rsidTr="00836AF1">
        <w:trPr>
          <w:trHeight w:val="326"/>
          <w:jc w:val="center"/>
        </w:trPr>
        <w:tc>
          <w:tcPr>
            <w:tcW w:w="869" w:type="dxa"/>
            <w:vMerge/>
          </w:tcPr>
          <w:p w14:paraId="2DB8336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</w:tcPr>
          <w:p w14:paraId="0E99EFC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006" w:type="dxa"/>
            <w:vMerge/>
          </w:tcPr>
          <w:p w14:paraId="428FB56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</w:tcPr>
          <w:p w14:paraId="1E2FE92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2F10F6E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38DCE56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0D5A0A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52430F5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71B072C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192FB43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1A5D370D" w14:textId="77777777" w:rsidTr="002A7D93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48CC687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G1O1</w:t>
            </w:r>
          </w:p>
          <w:p w14:paraId="64D0C13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37927F2E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افزایش تعداد گروههای فعال در مراکز آموزش پاسخگو</w:t>
            </w:r>
          </w:p>
        </w:tc>
        <w:tc>
          <w:tcPr>
            <w:tcW w:w="2006" w:type="dxa"/>
            <w:shd w:val="clear" w:color="auto" w:fill="FFFFFF" w:themeFill="background1"/>
          </w:tcPr>
          <w:p w14:paraId="0A25D3C4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به روز رسانی ابلاغ اعضای کارگروه اموزش پاسخگو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6839C7B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معاون آموزشی</w:t>
            </w:r>
          </w:p>
          <w:p w14:paraId="0BAEA1B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دانشکده ها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457E260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اردیبهشت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138661E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شهریور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256739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و مرکز توسعه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041F829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و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47E1E7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گروههای فعال شده در مراکز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406C6B4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EFFF30D" w14:textId="77777777" w:rsidTr="002E4BD3">
        <w:trPr>
          <w:trHeight w:val="442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515AB8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B62A15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01D4D9D5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کارشناسی مراکز پایلوت آموزش پاسخگو جهت آموزش گروههای بیشتر 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5DB575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156C874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7F8DCD4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7E0A43D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6AD957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2F00FBA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53C3863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993676D" w14:textId="77777777" w:rsidTr="002E4BD3">
        <w:trPr>
          <w:trHeight w:val="768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C1BE6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5705A5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245DE51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تشکیل کارگروه آموزش پاسخگو جهت بررسی نتایج کارشناسی مراکز پاسخگو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2D6EC42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0D68209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6EB7874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11CD14F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03A9484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1046A6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0178279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1FA75D02" w14:textId="77777777" w:rsidTr="00836AF1">
        <w:trPr>
          <w:trHeight w:val="1402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6F3BAC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6F52601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463DBB88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و اعلام نتایج و صورت جلسه کارگروه به دانشکده و گروههای آموزشی مشخص شده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4950346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24F872F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6A5F7C7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6C36E26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10988F5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47BEE0A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0BE4D4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2EF372D7" w14:textId="77777777" w:rsidTr="00836AF1">
        <w:trPr>
          <w:trHeight w:val="173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2A7E2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DB2E0F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426D33AE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 برنامه حضور اساتید گروههای مشخص شده جهت حضور در مراکز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72646CC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11AE14F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5E6624C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0F9D240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1A7D176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4BF7E75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071F5E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1B668E7" w14:textId="77777777" w:rsidTr="00836AF1">
        <w:trPr>
          <w:trHeight w:val="1077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C89665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E28F55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1458A37C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برنامه حضور به مراکز و بیمارستان ها</w:t>
            </w:r>
          </w:p>
        </w:tc>
        <w:tc>
          <w:tcPr>
            <w:tcW w:w="1049" w:type="dxa"/>
            <w:vMerge/>
            <w:shd w:val="clear" w:color="auto" w:fill="FFFFFF" w:themeFill="background1"/>
          </w:tcPr>
          <w:p w14:paraId="27848B3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</w:tcPr>
          <w:p w14:paraId="22DD752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24E5220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14:paraId="055748D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14:paraId="009292A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1211317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8A3746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8876929" w14:textId="77777777" w:rsidTr="002A7D93">
        <w:trPr>
          <w:trHeight w:val="829"/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7DE34C4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13F1D1B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 شورای راهبری آموزش پاسخگو</w:t>
            </w:r>
          </w:p>
        </w:tc>
        <w:tc>
          <w:tcPr>
            <w:tcW w:w="2006" w:type="dxa"/>
            <w:shd w:val="clear" w:color="auto" w:fill="FFFFFF" w:themeFill="background1"/>
          </w:tcPr>
          <w:p w14:paraId="3F06A9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به روز رسانی ابلاغ اعضای شورای راهبری</w:t>
            </w:r>
          </w:p>
          <w:p w14:paraId="7DAB0FE6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268DF30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 w:val="restart"/>
            <w:shd w:val="clear" w:color="auto" w:fill="FFFFFF" w:themeFill="background1"/>
          </w:tcPr>
          <w:p w14:paraId="2EB0180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خرداد </w:t>
            </w:r>
            <w:r w:rsidRPr="00B2510F">
              <w:rPr>
                <w:rFonts w:ascii="Times New Roman" w:eastAsiaTheme="minorHAnsi" w:hAnsi="Times New Roman" w:cs="Times New Roman" w:hint="cs"/>
                <w:rtl/>
                <w:lang w:bidi="fa-IR"/>
              </w:rPr>
              <w:t>–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شهریور-اذر-اسفند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3495790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معاونت آموزشی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6551419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و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794DDFD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جلسات شورای راهبری برگزار شده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3B9259A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2EBBAAA" w14:textId="77777777" w:rsidTr="002A7D93">
        <w:trPr>
          <w:trHeight w:val="345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DDA3AE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3811ED0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22BE37C6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 جهت تشکیل جلسات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66E7CC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07B67E1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7F102C6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2A84EC9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487485D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39404D8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EAD38CB" w14:textId="77777777" w:rsidTr="002A7D93">
        <w:trPr>
          <w:trHeight w:val="499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5864FE8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14:paraId="3586253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64D8497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 جلسات و بررسی چالش های موجود در مراکز</w:t>
            </w:r>
          </w:p>
          <w:p w14:paraId="16E4931D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59EC75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5F66C75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04FB218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3141798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37E103B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4E57859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A9705CA" w14:textId="77777777" w:rsidTr="00836AF1">
        <w:trPr>
          <w:trHeight w:val="40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668810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122B267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1C6E6D4F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به دانشکده ها و مراکز آموزش پاسخگو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5364224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261" w:type="dxa"/>
            <w:gridSpan w:val="2"/>
            <w:vMerge/>
            <w:shd w:val="clear" w:color="auto" w:fill="E5DFEC" w:themeFill="accent4" w:themeFillTint="33"/>
          </w:tcPr>
          <w:p w14:paraId="4383C89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31B26D8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2520510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3D2090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0BB06EC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5EC5D805" w14:textId="77777777" w:rsidR="00B2510F" w:rsidRPr="00B2510F" w:rsidRDefault="00B2510F" w:rsidP="00B2510F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66FD1626" w14:textId="77777777" w:rsidR="00B2510F" w:rsidRPr="00B2510F" w:rsidRDefault="00B2510F" w:rsidP="00B2510F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016EBC81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0425E3C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5D25CE35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0E64A541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46247040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7EF32595" w14:textId="77777777" w:rsidR="00BF1CBE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50F5B944" w14:textId="77777777" w:rsidR="00BF1CBE" w:rsidRPr="003561B2" w:rsidRDefault="00BF1CBE" w:rsidP="00BF1C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62A464F4" w14:textId="77777777" w:rsidR="002E1476" w:rsidRPr="002E1476" w:rsidRDefault="002E1476" w:rsidP="002E1476">
      <w:pPr>
        <w:bidi/>
        <w:rPr>
          <w:rFonts w:cs="B Nazanin"/>
          <w:sz w:val="24"/>
          <w:szCs w:val="24"/>
          <w:rtl/>
          <w:lang w:bidi="fa-IR"/>
        </w:rPr>
      </w:pPr>
    </w:p>
    <w:p w14:paraId="495C9E1D" w14:textId="77777777" w:rsidR="002E1476" w:rsidRPr="002E1476" w:rsidRDefault="002E1476" w:rsidP="002E1476">
      <w:pPr>
        <w:bidi/>
        <w:rPr>
          <w:rFonts w:cs="B Nazanin"/>
          <w:sz w:val="24"/>
          <w:szCs w:val="24"/>
          <w:rtl/>
          <w:lang w:bidi="fa-IR"/>
        </w:rPr>
      </w:pPr>
    </w:p>
    <w:p w14:paraId="012A97DB" w14:textId="77777777" w:rsidR="00B26D01" w:rsidRDefault="00B26D01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5A104D73" w14:textId="77777777" w:rsidR="00B26D01" w:rsidRDefault="00B26D01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3E782B04" w14:textId="77777777" w:rsidR="00B26D01" w:rsidRDefault="00B26D01">
      <w:pPr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</w:p>
    <w:p w14:paraId="23170F86" w14:textId="77777777" w:rsidR="00B26D01" w:rsidRPr="003561B2" w:rsidRDefault="00B26D01">
      <w:pPr>
        <w:rPr>
          <w:rFonts w:asciiTheme="minorHAnsi" w:eastAsiaTheme="minorHAnsi" w:hAnsiTheme="minorHAnsi" w:cs="B Nazanin"/>
          <w:sz w:val="24"/>
          <w:szCs w:val="24"/>
          <w:lang w:bidi="fa-IR"/>
        </w:rPr>
      </w:pPr>
    </w:p>
    <w:sectPr w:rsidR="00B26D01" w:rsidRPr="003561B2" w:rsidSect="00F500C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5F"/>
    <w:rsid w:val="00013844"/>
    <w:rsid w:val="000B01B3"/>
    <w:rsid w:val="002A7D93"/>
    <w:rsid w:val="002E1476"/>
    <w:rsid w:val="002E4BD3"/>
    <w:rsid w:val="003561B2"/>
    <w:rsid w:val="00491F36"/>
    <w:rsid w:val="00525BD0"/>
    <w:rsid w:val="006851CC"/>
    <w:rsid w:val="00730F10"/>
    <w:rsid w:val="00836AF1"/>
    <w:rsid w:val="0084679F"/>
    <w:rsid w:val="00895F1C"/>
    <w:rsid w:val="0093701C"/>
    <w:rsid w:val="00AD626C"/>
    <w:rsid w:val="00B2510F"/>
    <w:rsid w:val="00B26D01"/>
    <w:rsid w:val="00BF1CBE"/>
    <w:rsid w:val="00DF3C0C"/>
    <w:rsid w:val="00E963D4"/>
    <w:rsid w:val="00EA605F"/>
    <w:rsid w:val="00EE3EA1"/>
    <w:rsid w:val="00F5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FBDB"/>
  <w15:docId w15:val="{D86559AC-222F-45AF-B7FE-919E821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CB"/>
    <w:pPr>
      <w:spacing w:after="160" w:line="259" w:lineRule="auto"/>
    </w:pPr>
    <w:rPr>
      <w:rFonts w:ascii="Calibri" w:eastAsia="Calibri" w:hAnsi="Calibri" w:cs="B Zar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2510F"/>
  </w:style>
  <w:style w:type="paragraph" w:styleId="BalloonText">
    <w:name w:val="Balloon Text"/>
    <w:basedOn w:val="Normal"/>
    <w:link w:val="BalloonTextChar"/>
    <w:uiPriority w:val="99"/>
    <w:semiHidden/>
    <w:unhideWhenUsed/>
    <w:rsid w:val="00B2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F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2E4BD3"/>
    <w:pPr>
      <w:spacing w:after="0" w:line="240" w:lineRule="auto"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730F1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CE09-75FC-4AE5-B810-DAB3603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NAZARI</cp:lastModifiedBy>
  <cp:revision>2</cp:revision>
  <dcterms:created xsi:type="dcterms:W3CDTF">2025-10-19T05:03:00Z</dcterms:created>
  <dcterms:modified xsi:type="dcterms:W3CDTF">2025-10-19T05:03:00Z</dcterms:modified>
</cp:coreProperties>
</file>